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10" w:rsidRPr="009F10A8" w:rsidRDefault="000A2410" w:rsidP="0080563E">
      <w:pPr>
        <w:pStyle w:val="NoSpacing"/>
        <w:rPr>
          <w:b/>
          <w:sz w:val="24"/>
          <w:szCs w:val="24"/>
        </w:rPr>
      </w:pPr>
    </w:p>
    <w:p w:rsidR="0080563E" w:rsidRPr="009F10A8" w:rsidRDefault="00373F5D" w:rsidP="00805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is the role of a Specialist Support P</w:t>
      </w:r>
      <w:r w:rsidR="003727FA">
        <w:rPr>
          <w:b/>
          <w:sz w:val="24"/>
          <w:szCs w:val="24"/>
        </w:rPr>
        <w:t>rofessional</w:t>
      </w:r>
      <w:r w:rsidR="0080563E" w:rsidRPr="009F10A8">
        <w:rPr>
          <w:b/>
          <w:sz w:val="24"/>
          <w:szCs w:val="24"/>
        </w:rPr>
        <w:t>?</w:t>
      </w:r>
    </w:p>
    <w:p w:rsidR="0080563E" w:rsidRPr="009F10A8" w:rsidRDefault="0080563E" w:rsidP="0080563E">
      <w:pPr>
        <w:pStyle w:val="NoSpacing"/>
        <w:rPr>
          <w:sz w:val="24"/>
          <w:szCs w:val="24"/>
        </w:rPr>
      </w:pPr>
    </w:p>
    <w:p w:rsidR="00C663DD" w:rsidRPr="009F10A8" w:rsidRDefault="003727FA" w:rsidP="00805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role is to provide </w:t>
      </w:r>
      <w:r w:rsidR="0080563E" w:rsidRPr="009F10A8">
        <w:rPr>
          <w:sz w:val="24"/>
          <w:szCs w:val="24"/>
        </w:rPr>
        <w:t>mentoring</w:t>
      </w:r>
      <w:r>
        <w:rPr>
          <w:sz w:val="24"/>
          <w:szCs w:val="24"/>
        </w:rPr>
        <w:t xml:space="preserve"> and study skills support to students who are deaf, hard of hearing, visually impaired or have a multi sensory impairment. The foundation of this support is the relationship between the SSP and the student</w:t>
      </w:r>
      <w:r w:rsidR="0080563E" w:rsidRPr="009F10A8">
        <w:rPr>
          <w:sz w:val="24"/>
          <w:szCs w:val="24"/>
        </w:rPr>
        <w:t xml:space="preserve">.  Over time, a supportive and respectful relationship of trust is developed allowing the </w:t>
      </w:r>
      <w:r>
        <w:rPr>
          <w:sz w:val="24"/>
          <w:szCs w:val="24"/>
        </w:rPr>
        <w:t xml:space="preserve">student </w:t>
      </w:r>
      <w:r w:rsidR="0080563E" w:rsidRPr="009F10A8">
        <w:rPr>
          <w:sz w:val="24"/>
          <w:szCs w:val="24"/>
        </w:rPr>
        <w:t xml:space="preserve">to explore issues and work on overcoming barriers in a safe environment.  The </w:t>
      </w:r>
      <w:r>
        <w:rPr>
          <w:sz w:val="24"/>
          <w:szCs w:val="24"/>
        </w:rPr>
        <w:t xml:space="preserve">SSP </w:t>
      </w:r>
      <w:r w:rsidR="0080563E" w:rsidRPr="009F10A8">
        <w:rPr>
          <w:sz w:val="24"/>
          <w:szCs w:val="24"/>
        </w:rPr>
        <w:t xml:space="preserve">supports the </w:t>
      </w:r>
      <w:r>
        <w:rPr>
          <w:sz w:val="24"/>
          <w:szCs w:val="24"/>
        </w:rPr>
        <w:t xml:space="preserve">student </w:t>
      </w:r>
      <w:r w:rsidR="0080563E" w:rsidRPr="009F10A8">
        <w:rPr>
          <w:sz w:val="24"/>
          <w:szCs w:val="24"/>
        </w:rPr>
        <w:t xml:space="preserve">in problem-solving, decision making and testing out new strategies.  The </w:t>
      </w:r>
      <w:r>
        <w:rPr>
          <w:sz w:val="24"/>
          <w:szCs w:val="24"/>
        </w:rPr>
        <w:t xml:space="preserve">support </w:t>
      </w:r>
      <w:r w:rsidR="0080563E" w:rsidRPr="009F10A8">
        <w:rPr>
          <w:sz w:val="24"/>
          <w:szCs w:val="24"/>
        </w:rPr>
        <w:t>sessions offer opportunities for reflection and constructive feedback to enhance the pers</w:t>
      </w:r>
      <w:r>
        <w:rPr>
          <w:sz w:val="24"/>
          <w:szCs w:val="24"/>
        </w:rPr>
        <w:t>onal development of the student</w:t>
      </w:r>
    </w:p>
    <w:p w:rsidR="000F2852" w:rsidRPr="009F10A8" w:rsidRDefault="000F2852" w:rsidP="0080563E">
      <w:pPr>
        <w:pStyle w:val="NoSpacing"/>
        <w:rPr>
          <w:sz w:val="24"/>
          <w:szCs w:val="24"/>
        </w:rPr>
      </w:pPr>
    </w:p>
    <w:p w:rsidR="000F2852" w:rsidRPr="009F10A8" w:rsidRDefault="003727FA" w:rsidP="00805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SSP </w:t>
      </w:r>
      <w:r w:rsidR="000F2852" w:rsidRPr="009F10A8">
        <w:rPr>
          <w:sz w:val="24"/>
          <w:szCs w:val="24"/>
        </w:rPr>
        <w:t>is not expected to k</w:t>
      </w:r>
      <w:r w:rsidR="00373F5D">
        <w:rPr>
          <w:sz w:val="24"/>
          <w:szCs w:val="24"/>
        </w:rPr>
        <w:t>now all the answers</w:t>
      </w:r>
      <w:r w:rsidR="00EE34D9" w:rsidRPr="009F10A8">
        <w:rPr>
          <w:sz w:val="24"/>
          <w:szCs w:val="24"/>
        </w:rPr>
        <w:t xml:space="preserve"> but to support</w:t>
      </w:r>
      <w:r w:rsidR="000F2852" w:rsidRPr="009F10A8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student </w:t>
      </w:r>
      <w:r w:rsidR="000F2852" w:rsidRPr="009F10A8">
        <w:rPr>
          <w:sz w:val="24"/>
          <w:szCs w:val="24"/>
        </w:rPr>
        <w:t xml:space="preserve">to </w:t>
      </w:r>
      <w:r w:rsidR="00EE34D9" w:rsidRPr="009F10A8">
        <w:rPr>
          <w:sz w:val="24"/>
          <w:szCs w:val="24"/>
        </w:rPr>
        <w:t>find</w:t>
      </w:r>
      <w:r w:rsidR="00373F5D">
        <w:rPr>
          <w:sz w:val="24"/>
          <w:szCs w:val="24"/>
        </w:rPr>
        <w:t xml:space="preserve"> the information that they need</w:t>
      </w:r>
      <w:r w:rsidR="00EE34D9" w:rsidRPr="009F10A8">
        <w:rPr>
          <w:sz w:val="24"/>
          <w:szCs w:val="24"/>
        </w:rPr>
        <w:t xml:space="preserve"> and to access relevant support at the university and in the community.</w:t>
      </w:r>
    </w:p>
    <w:p w:rsidR="00EE34D9" w:rsidRPr="009F10A8" w:rsidRDefault="00EE34D9" w:rsidP="0080563E">
      <w:pPr>
        <w:pStyle w:val="NoSpacing"/>
        <w:rPr>
          <w:sz w:val="24"/>
          <w:szCs w:val="24"/>
        </w:rPr>
      </w:pPr>
    </w:p>
    <w:p w:rsidR="00EE34D9" w:rsidRPr="009F10A8" w:rsidRDefault="00EE34D9" w:rsidP="0080563E">
      <w:pPr>
        <w:pStyle w:val="NoSpacing"/>
        <w:rPr>
          <w:sz w:val="24"/>
          <w:szCs w:val="24"/>
        </w:rPr>
      </w:pPr>
      <w:r w:rsidRPr="009F10A8">
        <w:rPr>
          <w:sz w:val="24"/>
          <w:szCs w:val="24"/>
        </w:rPr>
        <w:t xml:space="preserve">Celebrating the achievements of </w:t>
      </w:r>
      <w:r w:rsidR="003727FA">
        <w:rPr>
          <w:sz w:val="24"/>
          <w:szCs w:val="24"/>
        </w:rPr>
        <w:t xml:space="preserve">students </w:t>
      </w:r>
      <w:r w:rsidRPr="009F10A8">
        <w:rPr>
          <w:sz w:val="24"/>
          <w:szCs w:val="24"/>
        </w:rPr>
        <w:t>is a really important part of</w:t>
      </w:r>
      <w:r w:rsidR="003727FA">
        <w:rPr>
          <w:sz w:val="24"/>
          <w:szCs w:val="24"/>
        </w:rPr>
        <w:t xml:space="preserve"> the sessions</w:t>
      </w:r>
      <w:r w:rsidRPr="009F10A8">
        <w:rPr>
          <w:sz w:val="24"/>
          <w:szCs w:val="24"/>
        </w:rPr>
        <w:t>.</w:t>
      </w:r>
    </w:p>
    <w:p w:rsidR="00F1557A" w:rsidRPr="009F10A8" w:rsidRDefault="00F1557A" w:rsidP="0080563E">
      <w:pPr>
        <w:pStyle w:val="NoSpacing"/>
        <w:rPr>
          <w:sz w:val="24"/>
          <w:szCs w:val="24"/>
        </w:rPr>
      </w:pPr>
    </w:p>
    <w:p w:rsidR="00F1557A" w:rsidRPr="009F10A8" w:rsidRDefault="00373F5D" w:rsidP="0080563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might come up in a SSP </w:t>
      </w:r>
      <w:r w:rsidR="008153FB" w:rsidRPr="009F10A8">
        <w:rPr>
          <w:b/>
          <w:sz w:val="24"/>
          <w:szCs w:val="24"/>
        </w:rPr>
        <w:t>session?</w:t>
      </w:r>
    </w:p>
    <w:p w:rsidR="00F1557A" w:rsidRPr="009F10A8" w:rsidRDefault="00F1557A" w:rsidP="0080563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5954"/>
      </w:tblGrid>
      <w:tr w:rsidR="0012306C" w:rsidRPr="009F10A8" w:rsidTr="000F2852">
        <w:tc>
          <w:tcPr>
            <w:tcW w:w="7650" w:type="dxa"/>
            <w:gridSpan w:val="2"/>
          </w:tcPr>
          <w:p w:rsidR="0012306C" w:rsidRPr="009F10A8" w:rsidRDefault="0012306C" w:rsidP="0080563E">
            <w:pPr>
              <w:pStyle w:val="NoSpacing"/>
              <w:rPr>
                <w:b/>
                <w:sz w:val="24"/>
                <w:szCs w:val="24"/>
              </w:rPr>
            </w:pPr>
            <w:r w:rsidRPr="009F10A8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5954" w:type="dxa"/>
          </w:tcPr>
          <w:p w:rsidR="0012306C" w:rsidRPr="009F10A8" w:rsidRDefault="0012306C" w:rsidP="0080563E">
            <w:pPr>
              <w:pStyle w:val="NoSpacing"/>
              <w:rPr>
                <w:b/>
                <w:sz w:val="24"/>
                <w:szCs w:val="24"/>
              </w:rPr>
            </w:pPr>
            <w:r w:rsidRPr="009F10A8">
              <w:rPr>
                <w:b/>
                <w:sz w:val="24"/>
                <w:szCs w:val="24"/>
              </w:rPr>
              <w:t>Strategies that could be tried</w:t>
            </w:r>
          </w:p>
        </w:tc>
      </w:tr>
      <w:tr w:rsidR="0012306C" w:rsidRPr="009F10A8" w:rsidTr="000F2852">
        <w:tc>
          <w:tcPr>
            <w:tcW w:w="1980" w:type="dxa"/>
          </w:tcPr>
          <w:p w:rsidR="0012306C" w:rsidRPr="009F10A8" w:rsidRDefault="0012306C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Academic studies</w:t>
            </w:r>
          </w:p>
        </w:tc>
        <w:tc>
          <w:tcPr>
            <w:tcW w:w="5670" w:type="dxa"/>
          </w:tcPr>
          <w:p w:rsidR="0012306C" w:rsidRPr="009F10A8" w:rsidRDefault="0012306C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Strategies for studying</w:t>
            </w:r>
          </w:p>
          <w:p w:rsidR="0012306C" w:rsidRPr="009F10A8" w:rsidRDefault="0012306C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Organisation, planning and time management</w:t>
            </w:r>
          </w:p>
          <w:p w:rsidR="0012306C" w:rsidRPr="009F10A8" w:rsidRDefault="0012306C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Workload</w:t>
            </w:r>
          </w:p>
          <w:p w:rsidR="0012306C" w:rsidRPr="009F10A8" w:rsidRDefault="0012306C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Managing multiple deadlines</w:t>
            </w:r>
          </w:p>
          <w:p w:rsidR="0012306C" w:rsidRPr="009F10A8" w:rsidRDefault="0012306C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Deferrals and extensions</w:t>
            </w:r>
          </w:p>
          <w:p w:rsidR="0012306C" w:rsidRPr="009F10A8" w:rsidRDefault="0012306C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Communicating with academic staff</w:t>
            </w:r>
          </w:p>
          <w:p w:rsidR="0012306C" w:rsidRPr="009F10A8" w:rsidRDefault="0012306C" w:rsidP="00F1557A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Communicating with Faculty Disability Co-ordinator</w:t>
            </w:r>
          </w:p>
          <w:p w:rsidR="000F2852" w:rsidRPr="009F10A8" w:rsidRDefault="000F2852" w:rsidP="00F1557A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Relationships with peers</w:t>
            </w:r>
          </w:p>
          <w:p w:rsidR="000F2852" w:rsidRPr="009F10A8" w:rsidRDefault="000F2852" w:rsidP="00F1557A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Group work assignments</w:t>
            </w:r>
          </w:p>
          <w:p w:rsidR="0012306C" w:rsidRPr="009F10A8" w:rsidRDefault="0012306C" w:rsidP="00F1557A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Problems with technology – laptops, printers, turn-it-in</w:t>
            </w:r>
          </w:p>
          <w:p w:rsidR="0012306C" w:rsidRPr="009F10A8" w:rsidRDefault="0012306C" w:rsidP="00F1557A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Access to workshops</w:t>
            </w:r>
          </w:p>
        </w:tc>
        <w:tc>
          <w:tcPr>
            <w:tcW w:w="5954" w:type="dxa"/>
          </w:tcPr>
          <w:p w:rsidR="000F2852" w:rsidRPr="009F10A8" w:rsidRDefault="0012306C" w:rsidP="0012306C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Sharing information abo</w:t>
            </w:r>
            <w:r w:rsidR="000F2852" w:rsidRPr="009F10A8">
              <w:rPr>
                <w:sz w:val="24"/>
                <w:szCs w:val="24"/>
              </w:rPr>
              <w:t>ut learning styles and encouraging student to vary study methods and take breaks</w:t>
            </w:r>
          </w:p>
          <w:p w:rsidR="000F2852" w:rsidRPr="009F10A8" w:rsidRDefault="000F2852" w:rsidP="0012306C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Goal setting and prioritisation activities</w:t>
            </w:r>
          </w:p>
          <w:p w:rsidR="0012306C" w:rsidRPr="009F10A8" w:rsidRDefault="0012306C" w:rsidP="0012306C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 xml:space="preserve">Encouraging the student to try out using timetables, </w:t>
            </w:r>
            <w:r w:rsidR="000F2852" w:rsidRPr="009F10A8">
              <w:rPr>
                <w:sz w:val="24"/>
                <w:szCs w:val="24"/>
              </w:rPr>
              <w:t xml:space="preserve">diaries, </w:t>
            </w:r>
            <w:r w:rsidRPr="009F10A8">
              <w:rPr>
                <w:sz w:val="24"/>
                <w:szCs w:val="24"/>
              </w:rPr>
              <w:t xml:space="preserve">planners, smartphone applications </w:t>
            </w:r>
            <w:r w:rsidR="003727FA">
              <w:rPr>
                <w:sz w:val="24"/>
                <w:szCs w:val="24"/>
              </w:rPr>
              <w:t xml:space="preserve">and assistive technology </w:t>
            </w:r>
            <w:r w:rsidRPr="009F10A8">
              <w:rPr>
                <w:sz w:val="24"/>
                <w:szCs w:val="24"/>
              </w:rPr>
              <w:t>etc. to find out what works for them.</w:t>
            </w:r>
          </w:p>
          <w:p w:rsidR="0012306C" w:rsidRPr="009F10A8" w:rsidRDefault="0012306C" w:rsidP="0012306C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Setting targets for the next session for example:</w:t>
            </w:r>
          </w:p>
          <w:p w:rsidR="0012306C" w:rsidRPr="009F10A8" w:rsidRDefault="0012306C" w:rsidP="000F285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Arrange an appointment with faculty disability co-ordinator</w:t>
            </w:r>
          </w:p>
          <w:p w:rsidR="0012306C" w:rsidRPr="009F10A8" w:rsidRDefault="0012306C" w:rsidP="000F285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Arrange to meet with lecturer about assignment</w:t>
            </w:r>
          </w:p>
          <w:p w:rsidR="000F2852" w:rsidRPr="009F10A8" w:rsidRDefault="000F2852" w:rsidP="000F285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Bring deferral form to next session</w:t>
            </w:r>
          </w:p>
          <w:p w:rsidR="0012306C" w:rsidRPr="009F10A8" w:rsidRDefault="0012306C" w:rsidP="0012306C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Encouraging student to write and send e-mails to academic staff during a session</w:t>
            </w:r>
          </w:p>
        </w:tc>
      </w:tr>
    </w:tbl>
    <w:p w:rsidR="00EE34D9" w:rsidRDefault="00EE34D9">
      <w:pPr>
        <w:rPr>
          <w:sz w:val="24"/>
          <w:szCs w:val="24"/>
        </w:rPr>
      </w:pPr>
    </w:p>
    <w:p w:rsidR="00E014D9" w:rsidRPr="009F10A8" w:rsidRDefault="00E014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5954"/>
      </w:tblGrid>
      <w:tr w:rsidR="00EE34D9" w:rsidRPr="009F10A8" w:rsidTr="003727FA">
        <w:tc>
          <w:tcPr>
            <w:tcW w:w="7650" w:type="dxa"/>
            <w:gridSpan w:val="2"/>
          </w:tcPr>
          <w:p w:rsidR="00EE34D9" w:rsidRPr="009F10A8" w:rsidRDefault="00EE34D9" w:rsidP="00EE34D9">
            <w:pPr>
              <w:pStyle w:val="NoSpacing"/>
              <w:rPr>
                <w:b/>
                <w:sz w:val="24"/>
                <w:szCs w:val="24"/>
              </w:rPr>
            </w:pPr>
            <w:r w:rsidRPr="009F10A8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5954" w:type="dxa"/>
          </w:tcPr>
          <w:p w:rsidR="00EE34D9" w:rsidRPr="009F10A8" w:rsidRDefault="00EE34D9" w:rsidP="00EE34D9">
            <w:pPr>
              <w:pStyle w:val="NoSpacing"/>
              <w:rPr>
                <w:b/>
                <w:sz w:val="24"/>
                <w:szCs w:val="24"/>
              </w:rPr>
            </w:pPr>
            <w:r w:rsidRPr="009F10A8">
              <w:rPr>
                <w:b/>
                <w:sz w:val="24"/>
                <w:szCs w:val="24"/>
              </w:rPr>
              <w:t>Strategies that could be tried</w:t>
            </w:r>
          </w:p>
        </w:tc>
      </w:tr>
      <w:tr w:rsidR="0012306C" w:rsidRPr="009F10A8" w:rsidTr="000F2852">
        <w:tc>
          <w:tcPr>
            <w:tcW w:w="1980" w:type="dxa"/>
          </w:tcPr>
          <w:p w:rsidR="0012306C" w:rsidRPr="009F10A8" w:rsidRDefault="000F2852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Accommodation</w:t>
            </w:r>
          </w:p>
        </w:tc>
        <w:tc>
          <w:tcPr>
            <w:tcW w:w="5670" w:type="dxa"/>
          </w:tcPr>
          <w:p w:rsidR="0012306C" w:rsidRPr="009F10A8" w:rsidRDefault="000F2852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Noise</w:t>
            </w:r>
          </w:p>
          <w:p w:rsidR="000F2852" w:rsidRPr="009F10A8" w:rsidRDefault="000F2852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Dealing with landlords</w:t>
            </w:r>
          </w:p>
          <w:p w:rsidR="000F2852" w:rsidRPr="009F10A8" w:rsidRDefault="000F2852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Theft</w:t>
            </w:r>
          </w:p>
          <w:p w:rsidR="000F2852" w:rsidRPr="009F10A8" w:rsidRDefault="000F2852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Relationships with flat-mates</w:t>
            </w:r>
          </w:p>
          <w:p w:rsidR="000F2852" w:rsidRPr="009F10A8" w:rsidRDefault="00DF2F7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 xml:space="preserve">Organising cleaning, shopping and </w:t>
            </w:r>
            <w:r w:rsidR="000F2852" w:rsidRPr="009F10A8">
              <w:rPr>
                <w:sz w:val="24"/>
                <w:szCs w:val="24"/>
              </w:rPr>
              <w:t>cooking</w:t>
            </w:r>
          </w:p>
        </w:tc>
        <w:tc>
          <w:tcPr>
            <w:tcW w:w="5954" w:type="dxa"/>
          </w:tcPr>
          <w:p w:rsidR="0012306C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Assertiveness skills</w:t>
            </w:r>
          </w:p>
          <w:p w:rsidR="008153FB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Brainstorming options for resolving conflicts</w:t>
            </w:r>
          </w:p>
        </w:tc>
      </w:tr>
      <w:tr w:rsidR="0012306C" w:rsidRPr="009F10A8" w:rsidTr="000F2852">
        <w:tc>
          <w:tcPr>
            <w:tcW w:w="1980" w:type="dxa"/>
          </w:tcPr>
          <w:p w:rsidR="0012306C" w:rsidRPr="009F10A8" w:rsidRDefault="002312F0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Finance</w:t>
            </w:r>
          </w:p>
        </w:tc>
        <w:tc>
          <w:tcPr>
            <w:tcW w:w="5670" w:type="dxa"/>
          </w:tcPr>
          <w:p w:rsidR="0012306C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Housing and other benefit issues</w:t>
            </w:r>
          </w:p>
          <w:p w:rsidR="008153FB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Resolving issues with Student Finance England (SFE)</w:t>
            </w:r>
          </w:p>
          <w:p w:rsidR="008153FB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Hardship fund</w:t>
            </w:r>
          </w:p>
          <w:p w:rsidR="008153FB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Employment</w:t>
            </w:r>
          </w:p>
        </w:tc>
        <w:tc>
          <w:tcPr>
            <w:tcW w:w="5954" w:type="dxa"/>
          </w:tcPr>
          <w:p w:rsidR="0012306C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Providing support by listening and exploring options</w:t>
            </w:r>
          </w:p>
          <w:p w:rsidR="008153FB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Assistance with applications</w:t>
            </w:r>
          </w:p>
          <w:p w:rsidR="008153FB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Encourage working with Disability Advice Service re issues with SFE</w:t>
            </w:r>
          </w:p>
          <w:p w:rsidR="008153FB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Supporting the student with budgeting</w:t>
            </w:r>
          </w:p>
        </w:tc>
      </w:tr>
      <w:tr w:rsidR="0012306C" w:rsidRPr="009F10A8" w:rsidTr="000F2852">
        <w:tc>
          <w:tcPr>
            <w:tcW w:w="1980" w:type="dxa"/>
          </w:tcPr>
          <w:p w:rsidR="0012306C" w:rsidRPr="009F10A8" w:rsidRDefault="009D32B4" w:rsidP="009D32B4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General health and well-being</w:t>
            </w:r>
          </w:p>
        </w:tc>
        <w:tc>
          <w:tcPr>
            <w:tcW w:w="5670" w:type="dxa"/>
          </w:tcPr>
          <w:p w:rsidR="0012306C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Diet</w:t>
            </w:r>
          </w:p>
          <w:p w:rsidR="008153FB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Exercise</w:t>
            </w:r>
          </w:p>
          <w:p w:rsidR="008153FB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Hobbies and interests</w:t>
            </w:r>
          </w:p>
          <w:p w:rsidR="008153FB" w:rsidRPr="009F10A8" w:rsidRDefault="004E385A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Study/life balance</w:t>
            </w:r>
          </w:p>
          <w:p w:rsidR="004E385A" w:rsidRPr="009F10A8" w:rsidRDefault="004E385A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Other health issues or long term conditions</w:t>
            </w:r>
          </w:p>
        </w:tc>
        <w:tc>
          <w:tcPr>
            <w:tcW w:w="5954" w:type="dxa"/>
          </w:tcPr>
          <w:p w:rsidR="0012306C" w:rsidRPr="009F10A8" w:rsidRDefault="008153FB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Wheel of Life tool</w:t>
            </w:r>
          </w:p>
          <w:p w:rsidR="004E385A" w:rsidRPr="009F10A8" w:rsidRDefault="004E385A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Five ways to well-being – New Economics Foundation</w:t>
            </w:r>
          </w:p>
          <w:p w:rsidR="004E385A" w:rsidRPr="009F10A8" w:rsidRDefault="004E385A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Encouraging students to explore and join university societies or local groups</w:t>
            </w:r>
          </w:p>
          <w:p w:rsidR="00473AE8" w:rsidRPr="009F10A8" w:rsidRDefault="00473AE8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Encourage students to find out about and use local amenities e.g. parks</w:t>
            </w:r>
          </w:p>
        </w:tc>
      </w:tr>
      <w:tr w:rsidR="009D32B4" w:rsidRPr="009F10A8" w:rsidTr="000F2852">
        <w:tc>
          <w:tcPr>
            <w:tcW w:w="1980" w:type="dxa"/>
          </w:tcPr>
          <w:p w:rsidR="009D32B4" w:rsidRPr="009F10A8" w:rsidRDefault="009D32B4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Mental health</w:t>
            </w:r>
          </w:p>
        </w:tc>
        <w:tc>
          <w:tcPr>
            <w:tcW w:w="5670" w:type="dxa"/>
          </w:tcPr>
          <w:p w:rsidR="008153FB" w:rsidRPr="009F10A8" w:rsidRDefault="00473AE8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Maintaining mental health</w:t>
            </w:r>
          </w:p>
          <w:p w:rsidR="00473AE8" w:rsidRPr="009F10A8" w:rsidRDefault="00473AE8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Confidence</w:t>
            </w:r>
          </w:p>
          <w:p w:rsidR="00473AE8" w:rsidRPr="009F10A8" w:rsidRDefault="00473AE8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Self-esteem</w:t>
            </w:r>
          </w:p>
          <w:p w:rsidR="00473AE8" w:rsidRDefault="00473AE8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Dealing with a crisis</w:t>
            </w:r>
          </w:p>
          <w:p w:rsidR="00E014D9" w:rsidRDefault="00E014D9" w:rsidP="0080563E">
            <w:pPr>
              <w:pStyle w:val="NoSpacing"/>
              <w:rPr>
                <w:sz w:val="24"/>
                <w:szCs w:val="24"/>
              </w:rPr>
            </w:pPr>
          </w:p>
          <w:p w:rsidR="00E014D9" w:rsidRDefault="00E014D9" w:rsidP="0080563E">
            <w:pPr>
              <w:pStyle w:val="NoSpacing"/>
              <w:rPr>
                <w:sz w:val="24"/>
                <w:szCs w:val="24"/>
              </w:rPr>
            </w:pPr>
          </w:p>
          <w:p w:rsidR="00E014D9" w:rsidRDefault="00E014D9" w:rsidP="0080563E">
            <w:pPr>
              <w:pStyle w:val="NoSpacing"/>
              <w:rPr>
                <w:sz w:val="24"/>
                <w:szCs w:val="24"/>
              </w:rPr>
            </w:pPr>
          </w:p>
          <w:p w:rsidR="00E014D9" w:rsidRDefault="00E014D9" w:rsidP="0080563E">
            <w:pPr>
              <w:pStyle w:val="NoSpacing"/>
              <w:rPr>
                <w:sz w:val="24"/>
                <w:szCs w:val="24"/>
              </w:rPr>
            </w:pPr>
          </w:p>
          <w:p w:rsidR="00E014D9" w:rsidRDefault="00E014D9" w:rsidP="0080563E">
            <w:pPr>
              <w:pStyle w:val="NoSpacing"/>
              <w:rPr>
                <w:sz w:val="24"/>
                <w:szCs w:val="24"/>
              </w:rPr>
            </w:pPr>
          </w:p>
          <w:p w:rsidR="00E014D9" w:rsidRPr="009F10A8" w:rsidRDefault="00E014D9" w:rsidP="008056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E385A" w:rsidRPr="009F10A8" w:rsidRDefault="004E385A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Exploring student’s own strategies for maintaining their mental health and encouraging them to keep using them.</w:t>
            </w:r>
          </w:p>
          <w:p w:rsidR="004E385A" w:rsidRPr="009F10A8" w:rsidRDefault="004E385A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Encouraging the student to engage with their GP, as appropriate</w:t>
            </w:r>
          </w:p>
          <w:p w:rsidR="004E385A" w:rsidRPr="009F10A8" w:rsidRDefault="004E385A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 xml:space="preserve">Encourage student to make use of support provided by </w:t>
            </w:r>
            <w:r w:rsidR="003727FA">
              <w:rPr>
                <w:sz w:val="24"/>
                <w:szCs w:val="24"/>
              </w:rPr>
              <w:t xml:space="preserve">the university </w:t>
            </w:r>
          </w:p>
          <w:p w:rsidR="00473AE8" w:rsidRPr="009F10A8" w:rsidRDefault="00473AE8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Personal development exercises</w:t>
            </w:r>
          </w:p>
          <w:p w:rsidR="004E385A" w:rsidRPr="009F10A8" w:rsidRDefault="004E385A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Encourage use of the</w:t>
            </w:r>
            <w:r w:rsidR="00CF3D71">
              <w:rPr>
                <w:sz w:val="24"/>
                <w:szCs w:val="24"/>
              </w:rPr>
              <w:t xml:space="preserve"> university</w:t>
            </w:r>
            <w:r w:rsidRPr="009F10A8">
              <w:rPr>
                <w:sz w:val="24"/>
                <w:szCs w:val="24"/>
              </w:rPr>
              <w:t xml:space="preserve"> counselling service if appropriate</w:t>
            </w:r>
          </w:p>
          <w:p w:rsidR="004E385A" w:rsidRPr="009F10A8" w:rsidRDefault="004E385A" w:rsidP="0080563E">
            <w:pPr>
              <w:pStyle w:val="NoSpacing"/>
              <w:rPr>
                <w:sz w:val="24"/>
                <w:szCs w:val="24"/>
              </w:rPr>
            </w:pPr>
          </w:p>
        </w:tc>
      </w:tr>
      <w:tr w:rsidR="0012306C" w:rsidRPr="009F10A8" w:rsidTr="000F2852">
        <w:tc>
          <w:tcPr>
            <w:tcW w:w="1980" w:type="dxa"/>
          </w:tcPr>
          <w:p w:rsidR="0012306C" w:rsidRPr="009F10A8" w:rsidRDefault="009D32B4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lastRenderedPageBreak/>
              <w:t>Relationships</w:t>
            </w:r>
          </w:p>
        </w:tc>
        <w:tc>
          <w:tcPr>
            <w:tcW w:w="5670" w:type="dxa"/>
          </w:tcPr>
          <w:p w:rsidR="009D32B4" w:rsidRPr="009F10A8" w:rsidRDefault="009D32B4" w:rsidP="00473AE8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Partners</w:t>
            </w:r>
            <w:r w:rsidR="00473AE8" w:rsidRPr="009F10A8">
              <w:rPr>
                <w:sz w:val="24"/>
                <w:szCs w:val="24"/>
              </w:rPr>
              <w:t>, f</w:t>
            </w:r>
            <w:r w:rsidRPr="009F10A8">
              <w:rPr>
                <w:sz w:val="24"/>
                <w:szCs w:val="24"/>
              </w:rPr>
              <w:t>riends</w:t>
            </w:r>
            <w:r w:rsidR="00473AE8" w:rsidRPr="009F10A8">
              <w:rPr>
                <w:sz w:val="24"/>
                <w:szCs w:val="24"/>
              </w:rPr>
              <w:t xml:space="preserve"> and f</w:t>
            </w:r>
            <w:r w:rsidRPr="009F10A8">
              <w:rPr>
                <w:sz w:val="24"/>
                <w:szCs w:val="24"/>
              </w:rPr>
              <w:t>amilies</w:t>
            </w:r>
          </w:p>
        </w:tc>
        <w:tc>
          <w:tcPr>
            <w:tcW w:w="5954" w:type="dxa"/>
          </w:tcPr>
          <w:p w:rsidR="0012306C" w:rsidRPr="009F10A8" w:rsidRDefault="00473AE8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Assertiveness techniques</w:t>
            </w:r>
          </w:p>
          <w:p w:rsidR="00473AE8" w:rsidRPr="009F10A8" w:rsidRDefault="00473AE8" w:rsidP="0080563E">
            <w:pPr>
              <w:pStyle w:val="NoSpacing"/>
              <w:rPr>
                <w:sz w:val="24"/>
                <w:szCs w:val="24"/>
              </w:rPr>
            </w:pPr>
            <w:r w:rsidRPr="009F10A8">
              <w:rPr>
                <w:sz w:val="24"/>
                <w:szCs w:val="24"/>
              </w:rPr>
              <w:t>Role play</w:t>
            </w:r>
          </w:p>
        </w:tc>
      </w:tr>
    </w:tbl>
    <w:p w:rsidR="00E014D9" w:rsidRDefault="00E014D9" w:rsidP="0080563E">
      <w:pPr>
        <w:pStyle w:val="NoSpacing"/>
        <w:rPr>
          <w:b/>
          <w:sz w:val="24"/>
          <w:szCs w:val="24"/>
        </w:rPr>
      </w:pPr>
    </w:p>
    <w:p w:rsidR="00F1557A" w:rsidRPr="009F10A8" w:rsidRDefault="00473AE8" w:rsidP="0080563E">
      <w:pPr>
        <w:pStyle w:val="NoSpacing"/>
        <w:rPr>
          <w:b/>
          <w:sz w:val="24"/>
          <w:szCs w:val="24"/>
        </w:rPr>
      </w:pPr>
      <w:r w:rsidRPr="009F10A8">
        <w:rPr>
          <w:b/>
          <w:sz w:val="24"/>
          <w:szCs w:val="24"/>
        </w:rPr>
        <w:t>Some helpful resources</w:t>
      </w:r>
      <w:bookmarkStart w:id="0" w:name="_GoBack"/>
      <w:bookmarkEnd w:id="0"/>
    </w:p>
    <w:p w:rsidR="00473AE8" w:rsidRPr="009F10A8" w:rsidRDefault="00473AE8" w:rsidP="0080563E">
      <w:pPr>
        <w:pStyle w:val="NoSpacing"/>
        <w:rPr>
          <w:sz w:val="24"/>
          <w:szCs w:val="24"/>
        </w:rPr>
      </w:pPr>
    </w:p>
    <w:p w:rsidR="00353C0D" w:rsidRPr="009F10A8" w:rsidRDefault="00353C0D" w:rsidP="0080563E">
      <w:pPr>
        <w:pStyle w:val="NoSpacing"/>
        <w:rPr>
          <w:sz w:val="24"/>
          <w:szCs w:val="24"/>
        </w:rPr>
      </w:pPr>
      <w:r w:rsidRPr="009F10A8">
        <w:rPr>
          <w:sz w:val="24"/>
          <w:szCs w:val="24"/>
        </w:rPr>
        <w:t xml:space="preserve">The staff portal – </w:t>
      </w:r>
      <w:hyperlink r:id="rId7" w:history="1">
        <w:r w:rsidRPr="009F10A8">
          <w:rPr>
            <w:rStyle w:val="Hyperlink"/>
            <w:sz w:val="24"/>
            <w:szCs w:val="24"/>
          </w:rPr>
          <w:t>www.learningsupportcentre.com/sp</w:t>
        </w:r>
      </w:hyperlink>
      <w:r w:rsidRPr="009F10A8">
        <w:rPr>
          <w:sz w:val="24"/>
          <w:szCs w:val="24"/>
        </w:rPr>
        <w:t xml:space="preserve"> - timesheets, mentoring logs, policies and procedures, resources for mental health, study skills etc</w:t>
      </w:r>
    </w:p>
    <w:p w:rsidR="00353C0D" w:rsidRPr="009F10A8" w:rsidRDefault="003727FA" w:rsidP="008056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Progress </w:t>
      </w:r>
      <w:r w:rsidR="00353C0D" w:rsidRPr="009F10A8">
        <w:rPr>
          <w:sz w:val="24"/>
          <w:szCs w:val="24"/>
        </w:rPr>
        <w:t>Log</w:t>
      </w:r>
    </w:p>
    <w:p w:rsidR="00473AE8" w:rsidRPr="009F10A8" w:rsidRDefault="00473AE8" w:rsidP="0080563E">
      <w:pPr>
        <w:pStyle w:val="NoSpacing"/>
        <w:rPr>
          <w:sz w:val="24"/>
          <w:szCs w:val="24"/>
        </w:rPr>
      </w:pPr>
      <w:r w:rsidRPr="009F10A8">
        <w:rPr>
          <w:sz w:val="24"/>
          <w:szCs w:val="24"/>
        </w:rPr>
        <w:t>Weekly planner</w:t>
      </w:r>
    </w:p>
    <w:p w:rsidR="00473AE8" w:rsidRPr="009F10A8" w:rsidRDefault="00473AE8" w:rsidP="0080563E">
      <w:pPr>
        <w:pStyle w:val="NoSpacing"/>
        <w:rPr>
          <w:sz w:val="24"/>
          <w:szCs w:val="24"/>
        </w:rPr>
      </w:pPr>
      <w:r w:rsidRPr="009F10A8">
        <w:rPr>
          <w:sz w:val="24"/>
          <w:szCs w:val="24"/>
        </w:rPr>
        <w:t>The Wheel of Life</w:t>
      </w:r>
    </w:p>
    <w:p w:rsidR="00473AE8" w:rsidRPr="009F10A8" w:rsidRDefault="00473AE8" w:rsidP="0080563E">
      <w:pPr>
        <w:pStyle w:val="NoSpacing"/>
        <w:rPr>
          <w:sz w:val="24"/>
          <w:szCs w:val="24"/>
        </w:rPr>
      </w:pPr>
      <w:r w:rsidRPr="009F10A8">
        <w:rPr>
          <w:sz w:val="24"/>
          <w:szCs w:val="24"/>
        </w:rPr>
        <w:t>Five ways to wellbeing</w:t>
      </w:r>
    </w:p>
    <w:p w:rsidR="00473AE8" w:rsidRPr="009F10A8" w:rsidRDefault="00473AE8" w:rsidP="0080563E">
      <w:pPr>
        <w:pStyle w:val="NoSpacing"/>
        <w:rPr>
          <w:sz w:val="24"/>
          <w:szCs w:val="24"/>
        </w:rPr>
      </w:pPr>
      <w:r w:rsidRPr="009F10A8">
        <w:rPr>
          <w:sz w:val="24"/>
          <w:szCs w:val="24"/>
        </w:rPr>
        <w:t>Self-care – some useful questions to ask</w:t>
      </w:r>
    </w:p>
    <w:p w:rsidR="00473AE8" w:rsidRPr="009F10A8" w:rsidRDefault="00473AE8" w:rsidP="0080563E">
      <w:pPr>
        <w:pStyle w:val="NoSpacing"/>
        <w:rPr>
          <w:sz w:val="24"/>
          <w:szCs w:val="24"/>
        </w:rPr>
      </w:pPr>
      <w:r w:rsidRPr="009F10A8">
        <w:rPr>
          <w:sz w:val="24"/>
          <w:szCs w:val="24"/>
        </w:rPr>
        <w:t>My personal first aid kit</w:t>
      </w:r>
    </w:p>
    <w:p w:rsidR="003D6F88" w:rsidRPr="009F10A8" w:rsidRDefault="003D6F88" w:rsidP="0080563E">
      <w:pPr>
        <w:pStyle w:val="NoSpacing"/>
        <w:rPr>
          <w:sz w:val="24"/>
          <w:szCs w:val="24"/>
        </w:rPr>
      </w:pPr>
    </w:p>
    <w:p w:rsidR="003D6F88" w:rsidRPr="009F10A8" w:rsidRDefault="003D6F88" w:rsidP="0080563E">
      <w:pPr>
        <w:pStyle w:val="NoSpacing"/>
        <w:rPr>
          <w:sz w:val="24"/>
          <w:szCs w:val="24"/>
        </w:rPr>
      </w:pPr>
      <w:r w:rsidRPr="009F10A8">
        <w:rPr>
          <w:sz w:val="24"/>
          <w:szCs w:val="24"/>
        </w:rPr>
        <w:t>Clare Carr – September 2015</w:t>
      </w:r>
      <w:r w:rsidR="00CF3D71">
        <w:rPr>
          <w:sz w:val="24"/>
          <w:szCs w:val="24"/>
        </w:rPr>
        <w:t>, edited Laura Cook September 2017</w:t>
      </w:r>
    </w:p>
    <w:p w:rsidR="00473AE8" w:rsidRPr="009F10A8" w:rsidRDefault="00473AE8" w:rsidP="0080563E">
      <w:pPr>
        <w:pStyle w:val="NoSpacing"/>
        <w:rPr>
          <w:sz w:val="24"/>
          <w:szCs w:val="24"/>
        </w:rPr>
      </w:pPr>
    </w:p>
    <w:p w:rsidR="00F1557A" w:rsidRPr="009F10A8" w:rsidRDefault="00F1557A" w:rsidP="0080563E">
      <w:pPr>
        <w:pStyle w:val="NoSpacing"/>
        <w:rPr>
          <w:sz w:val="24"/>
          <w:szCs w:val="24"/>
        </w:rPr>
      </w:pPr>
    </w:p>
    <w:p w:rsidR="00F1557A" w:rsidRPr="009F10A8" w:rsidRDefault="00F1557A" w:rsidP="0080563E">
      <w:pPr>
        <w:pStyle w:val="NoSpacing"/>
        <w:rPr>
          <w:sz w:val="24"/>
          <w:szCs w:val="24"/>
        </w:rPr>
      </w:pPr>
    </w:p>
    <w:p w:rsidR="0080563E" w:rsidRPr="009F10A8" w:rsidRDefault="0080563E" w:rsidP="0080563E">
      <w:pPr>
        <w:pStyle w:val="NoSpacing"/>
        <w:rPr>
          <w:sz w:val="24"/>
          <w:szCs w:val="24"/>
        </w:rPr>
      </w:pPr>
    </w:p>
    <w:p w:rsidR="0080563E" w:rsidRPr="009F10A8" w:rsidRDefault="0080563E" w:rsidP="0080563E">
      <w:pPr>
        <w:pStyle w:val="NoSpacing"/>
        <w:rPr>
          <w:sz w:val="24"/>
          <w:szCs w:val="24"/>
        </w:rPr>
      </w:pPr>
    </w:p>
    <w:sectPr w:rsidR="0080563E" w:rsidRPr="009F10A8" w:rsidSect="0012306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71" w:rsidRDefault="00CF3D71" w:rsidP="00F1557A">
      <w:pPr>
        <w:spacing w:after="0" w:line="240" w:lineRule="auto"/>
      </w:pPr>
      <w:r>
        <w:separator/>
      </w:r>
    </w:p>
  </w:endnote>
  <w:endnote w:type="continuationSeparator" w:id="0">
    <w:p w:rsidR="00CF3D71" w:rsidRDefault="00CF3D71" w:rsidP="00F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71" w:rsidRPr="000A2410" w:rsidRDefault="00CF3D71">
    <w:pPr>
      <w:pStyle w:val="Footer"/>
      <w:rPr>
        <w:sz w:val="18"/>
        <w:szCs w:val="18"/>
      </w:rPr>
    </w:pPr>
    <w:r w:rsidRPr="00FD7379">
      <w:rPr>
        <w:rFonts w:ascii="Calibri" w:hAnsi="Calibri"/>
        <w:sz w:val="18"/>
        <w:szCs w:val="18"/>
      </w:rPr>
      <w:t>UK Registered Company no: 7048594 The Learning Support Centre Ltd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71" w:rsidRDefault="00CF3D71" w:rsidP="00F1557A">
      <w:pPr>
        <w:spacing w:after="0" w:line="240" w:lineRule="auto"/>
      </w:pPr>
      <w:r>
        <w:separator/>
      </w:r>
    </w:p>
  </w:footnote>
  <w:footnote w:type="continuationSeparator" w:id="0">
    <w:p w:rsidR="00CF3D71" w:rsidRDefault="00CF3D71" w:rsidP="00F1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71" w:rsidRPr="009F10A8" w:rsidRDefault="00CF3D71">
    <w:pPr>
      <w:pStyle w:val="Header"/>
      <w:rPr>
        <w:rFonts w:ascii="Arial" w:hAnsi="Arial" w:cs="Arial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D5ADA9" wp14:editId="4D73F274">
          <wp:simplePos x="0" y="0"/>
          <wp:positionH relativeFrom="margin">
            <wp:align>left</wp:align>
          </wp:positionH>
          <wp:positionV relativeFrom="paragraph">
            <wp:posOffset>-591185</wp:posOffset>
          </wp:positionV>
          <wp:extent cx="3390900" cy="1152525"/>
          <wp:effectExtent l="0" t="0" r="12700" b="0"/>
          <wp:wrapNone/>
          <wp:docPr id="3" name="Picture 3" descr="LSC Logo 3500 x 2500p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C Logo 3500 x 2500p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                     </w:t>
    </w:r>
    <w:r>
      <w:rPr>
        <w:b/>
        <w:sz w:val="28"/>
        <w:szCs w:val="28"/>
      </w:rPr>
      <w:tab/>
    </w:r>
    <w:r>
      <w:rPr>
        <w:rFonts w:ascii="Arial" w:hAnsi="Arial" w:cs="Arial"/>
        <w:b/>
        <w:sz w:val="32"/>
        <w:szCs w:val="28"/>
      </w:rPr>
      <w:t xml:space="preserve">Induction for Specialist Support Professionals (SSP) </w:t>
    </w:r>
    <w:r>
      <w:rPr>
        <w:rFonts w:ascii="Arial" w:hAnsi="Arial" w:cs="Arial"/>
        <w:b/>
        <w:sz w:val="32"/>
        <w:szCs w:val="28"/>
      </w:rPr>
      <w:tab/>
    </w:r>
    <w:r>
      <w:rPr>
        <w:rFonts w:ascii="Arial" w:hAnsi="Arial" w:cs="Arial"/>
        <w:b/>
        <w:sz w:val="32"/>
        <w:szCs w:val="28"/>
      </w:rPr>
      <w:tab/>
      <w:t xml:space="preserve">            </w:t>
    </w:r>
    <w:proofErr w:type="gramStart"/>
    <w:r>
      <w:rPr>
        <w:rFonts w:ascii="Arial" w:hAnsi="Arial" w:cs="Arial"/>
        <w:b/>
        <w:sz w:val="32"/>
        <w:szCs w:val="28"/>
      </w:rPr>
      <w:t xml:space="preserve">   (</w:t>
    </w:r>
    <w:proofErr w:type="gramEnd"/>
    <w:r>
      <w:rPr>
        <w:rFonts w:ascii="Arial" w:hAnsi="Arial" w:cs="Arial"/>
        <w:b/>
        <w:sz w:val="32"/>
        <w:szCs w:val="28"/>
      </w:rPr>
      <w:t xml:space="preserve">SSP) working with students with sensory disabilities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03DD"/>
    <w:multiLevelType w:val="hybridMultilevel"/>
    <w:tmpl w:val="A7C6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E"/>
    <w:rsid w:val="000A2410"/>
    <w:rsid w:val="000F2852"/>
    <w:rsid w:val="0012306C"/>
    <w:rsid w:val="001420F1"/>
    <w:rsid w:val="001B3319"/>
    <w:rsid w:val="002312F0"/>
    <w:rsid w:val="00353C0D"/>
    <w:rsid w:val="003727FA"/>
    <w:rsid w:val="00373F5D"/>
    <w:rsid w:val="003D6F88"/>
    <w:rsid w:val="00473AE8"/>
    <w:rsid w:val="004E385A"/>
    <w:rsid w:val="007530F7"/>
    <w:rsid w:val="0080563E"/>
    <w:rsid w:val="008153FB"/>
    <w:rsid w:val="009D32B4"/>
    <w:rsid w:val="009F10A8"/>
    <w:rsid w:val="00A97A1C"/>
    <w:rsid w:val="00C663DD"/>
    <w:rsid w:val="00CF3D71"/>
    <w:rsid w:val="00D3286B"/>
    <w:rsid w:val="00D54EFF"/>
    <w:rsid w:val="00DF2F7B"/>
    <w:rsid w:val="00E014D9"/>
    <w:rsid w:val="00E91BDD"/>
    <w:rsid w:val="00EE34D9"/>
    <w:rsid w:val="00F1557A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5333F1"/>
  <w15:docId w15:val="{65B9F70C-109D-410A-A00B-E49C6AA2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7A"/>
  </w:style>
  <w:style w:type="paragraph" w:styleId="Footer">
    <w:name w:val="footer"/>
    <w:basedOn w:val="Normal"/>
    <w:link w:val="FooterChar"/>
    <w:uiPriority w:val="99"/>
    <w:unhideWhenUsed/>
    <w:rsid w:val="00F15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7A"/>
  </w:style>
  <w:style w:type="table" w:styleId="TableGrid">
    <w:name w:val="Table Grid"/>
    <w:basedOn w:val="TableNormal"/>
    <w:uiPriority w:val="39"/>
    <w:rsid w:val="00F1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C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rningsupportcentre.com/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Sophie Maziere</cp:lastModifiedBy>
  <cp:revision>3</cp:revision>
  <cp:lastPrinted>2016-05-09T15:25:00Z</cp:lastPrinted>
  <dcterms:created xsi:type="dcterms:W3CDTF">2017-09-19T09:45:00Z</dcterms:created>
  <dcterms:modified xsi:type="dcterms:W3CDTF">2017-09-21T10:39:00Z</dcterms:modified>
</cp:coreProperties>
</file>